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B6E4" w14:textId="77777777" w:rsidR="00530232" w:rsidRDefault="009B568B">
      <w:r>
        <w:rPr>
          <w:noProof/>
          <w:lang w:eastAsia="en-GB"/>
        </w:rPr>
        <w:drawing>
          <wp:anchor distT="0" distB="0" distL="114300" distR="114300" simplePos="0" relativeHeight="251659264" behindDoc="1" locked="0" layoutInCell="1" allowOverlap="1" wp14:anchorId="1B42B6F3" wp14:editId="54DAD7E5">
            <wp:simplePos x="0" y="0"/>
            <wp:positionH relativeFrom="column">
              <wp:posOffset>8105775</wp:posOffset>
            </wp:positionH>
            <wp:positionV relativeFrom="paragraph">
              <wp:posOffset>-150495</wp:posOffset>
            </wp:positionV>
            <wp:extent cx="2028825" cy="638175"/>
            <wp:effectExtent l="0" t="0" r="9525" b="9525"/>
            <wp:wrapTight wrapText="bothSides">
              <wp:wrapPolygon edited="0">
                <wp:start x="0" y="0"/>
                <wp:lineTo x="0" y="21278"/>
                <wp:lineTo x="21499" y="21278"/>
                <wp:lineTo x="21499" y="0"/>
                <wp:lineTo x="0" y="0"/>
              </wp:wrapPolygon>
            </wp:wrapTight>
            <wp:docPr id="6" name="Picture 6" descr="ecm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mlogo (00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1B42B6F5" wp14:editId="1B42B6F6">
            <wp:simplePos x="0" y="0"/>
            <wp:positionH relativeFrom="column">
              <wp:posOffset>-158115</wp:posOffset>
            </wp:positionH>
            <wp:positionV relativeFrom="paragraph">
              <wp:posOffset>-173355</wp:posOffset>
            </wp:positionV>
            <wp:extent cx="914400" cy="776605"/>
            <wp:effectExtent l="0" t="0" r="0" b="4445"/>
            <wp:wrapNone/>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2B6E5" w14:textId="77777777" w:rsidR="00530232" w:rsidRPr="00D06CA2" w:rsidRDefault="00530232" w:rsidP="00530232">
      <w:pPr>
        <w:rPr>
          <w:rFonts w:ascii="Arial" w:hAnsi="Arial" w:cs="Arial"/>
        </w:rPr>
      </w:pPr>
    </w:p>
    <w:p w14:paraId="783F33FA" w14:textId="3A712B9A" w:rsidR="00CA5375" w:rsidRDefault="002075B3" w:rsidP="00CA5375">
      <w:pPr>
        <w:pStyle w:val="Heading2"/>
        <w:spacing w:before="0" w:after="150" w:line="420" w:lineRule="atLeast"/>
        <w:jc w:val="center"/>
        <w:rPr>
          <w:rFonts w:ascii="Arial" w:hAnsi="Arial" w:cs="Arial"/>
          <w:b/>
          <w:color w:val="444444"/>
          <w:sz w:val="33"/>
          <w:szCs w:val="33"/>
          <w:u w:val="single"/>
        </w:rPr>
      </w:pPr>
      <w:r>
        <w:rPr>
          <w:rFonts w:ascii="Arial" w:hAnsi="Arial" w:cs="Arial"/>
          <w:b/>
          <w:color w:val="444444"/>
          <w:sz w:val="33"/>
          <w:szCs w:val="33"/>
          <w:u w:val="single"/>
        </w:rPr>
        <w:t xml:space="preserve">1 Minute Safeguarding: </w:t>
      </w:r>
      <w:r w:rsidR="00F96017">
        <w:rPr>
          <w:rFonts w:ascii="Arial" w:hAnsi="Arial" w:cs="Arial"/>
          <w:b/>
          <w:color w:val="444444"/>
          <w:sz w:val="33"/>
          <w:szCs w:val="33"/>
          <w:u w:val="single"/>
        </w:rPr>
        <w:t>Equality</w:t>
      </w:r>
    </w:p>
    <w:p w14:paraId="71E5D622" w14:textId="77777777" w:rsidR="00B44C8D" w:rsidRDefault="00B44C8D" w:rsidP="00B44C8D">
      <w:pPr>
        <w:pStyle w:val="Heading3"/>
        <w:rPr>
          <w:rFonts w:ascii="Arial" w:hAnsi="Arial" w:cs="Arial"/>
          <w:color w:val="3FAE2A"/>
          <w:sz w:val="22"/>
          <w:szCs w:val="22"/>
        </w:rPr>
      </w:pPr>
    </w:p>
    <w:p w14:paraId="38C456B7" w14:textId="05624701" w:rsidR="00B44C8D" w:rsidRPr="00554B06" w:rsidRDefault="00F96017" w:rsidP="00554B06">
      <w:pPr>
        <w:pStyle w:val="Heading3"/>
        <w:spacing w:before="0"/>
        <w:rPr>
          <w:rFonts w:ascii="Arial" w:hAnsi="Arial" w:cs="Arial"/>
          <w:color w:val="auto"/>
          <w:szCs w:val="30"/>
        </w:rPr>
      </w:pPr>
      <w:r w:rsidRPr="00554B06">
        <w:rPr>
          <w:rFonts w:ascii="Arial" w:hAnsi="Arial" w:cs="Arial"/>
          <w:color w:val="auto"/>
          <w:szCs w:val="30"/>
        </w:rPr>
        <w:t>What do we mean by equality?</w:t>
      </w:r>
    </w:p>
    <w:p w14:paraId="5171531D" w14:textId="684B4936" w:rsidR="00F96017" w:rsidRPr="00554B06" w:rsidRDefault="00F96017" w:rsidP="00554B06">
      <w:pPr>
        <w:pStyle w:val="Heading3"/>
        <w:spacing w:before="0"/>
        <w:rPr>
          <w:rFonts w:ascii="Arial" w:hAnsi="Arial" w:cs="Arial"/>
          <w:color w:val="BDC1C6"/>
          <w:sz w:val="20"/>
          <w:shd w:val="clear" w:color="auto" w:fill="202124"/>
        </w:rPr>
      </w:pPr>
      <w:r w:rsidRPr="00554B06">
        <w:rPr>
          <w:rFonts w:ascii="Arial" w:hAnsi="Arial" w:cs="Arial"/>
          <w:color w:val="0B0C0C"/>
          <w:sz w:val="20"/>
        </w:rPr>
        <w:t>Equality is about ensuring that every individual has an equal opportunity to make the most of their lives and talents.  It is also the belief that no one should have poorer life chances because of the way they were born, where they come from, what they believe, or whether they have a disability.</w:t>
      </w:r>
    </w:p>
    <w:p w14:paraId="7D2230EE" w14:textId="77777777" w:rsidR="00F96017" w:rsidRPr="00554B06" w:rsidRDefault="00F96017" w:rsidP="00554B06">
      <w:pPr>
        <w:pStyle w:val="Heading3"/>
        <w:spacing w:before="0"/>
        <w:rPr>
          <w:rFonts w:ascii="Arial" w:hAnsi="Arial" w:cs="Arial"/>
          <w:color w:val="BDC1C6"/>
          <w:sz w:val="16"/>
          <w:szCs w:val="20"/>
          <w:shd w:val="clear" w:color="auto" w:fill="202124"/>
        </w:rPr>
      </w:pPr>
    </w:p>
    <w:p w14:paraId="652C738E" w14:textId="2B447AA7" w:rsidR="00B44C8D" w:rsidRPr="00554B06" w:rsidRDefault="00F96017" w:rsidP="00554B06">
      <w:pPr>
        <w:pStyle w:val="Heading3"/>
        <w:spacing w:before="0"/>
        <w:rPr>
          <w:rFonts w:ascii="Arial" w:hAnsi="Arial" w:cs="Arial"/>
          <w:color w:val="auto"/>
          <w:szCs w:val="30"/>
        </w:rPr>
      </w:pPr>
      <w:r w:rsidRPr="00554B06">
        <w:rPr>
          <w:rFonts w:ascii="Arial" w:hAnsi="Arial" w:cs="Arial"/>
          <w:color w:val="auto"/>
          <w:szCs w:val="30"/>
        </w:rPr>
        <w:t>Types of discrimination – ‘protected factors’:</w:t>
      </w:r>
    </w:p>
    <w:p w14:paraId="156E0487" w14:textId="77777777" w:rsidR="00F96017" w:rsidRPr="00554B06" w:rsidRDefault="00F96017" w:rsidP="00554B06">
      <w:pPr>
        <w:pStyle w:val="NormalWeb"/>
        <w:shd w:val="clear" w:color="auto" w:fill="FFFFFF"/>
        <w:spacing w:before="0" w:beforeAutospacing="0" w:after="0" w:afterAutospacing="0"/>
        <w:rPr>
          <w:rFonts w:ascii="Arial" w:hAnsi="Arial" w:cs="Arial"/>
          <w:color w:val="0B0C0C"/>
          <w:sz w:val="20"/>
        </w:rPr>
      </w:pPr>
      <w:r w:rsidRPr="00554B06">
        <w:rPr>
          <w:rFonts w:ascii="Arial" w:hAnsi="Arial" w:cs="Arial"/>
          <w:color w:val="0B0C0C"/>
          <w:sz w:val="20"/>
        </w:rPr>
        <w:t>It is against the law to discriminate against anyone because of:</w:t>
      </w:r>
    </w:p>
    <w:p w14:paraId="38B06691"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r w:rsidRPr="00554B06">
        <w:rPr>
          <w:rFonts w:ascii="Arial" w:hAnsi="Arial" w:cs="Arial"/>
          <w:color w:val="0B0C0C"/>
          <w:sz w:val="20"/>
          <w:szCs w:val="24"/>
        </w:rPr>
        <w:t>age</w:t>
      </w:r>
    </w:p>
    <w:p w14:paraId="625B9301"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r w:rsidRPr="00554B06">
        <w:rPr>
          <w:rFonts w:ascii="Arial" w:hAnsi="Arial" w:cs="Arial"/>
          <w:color w:val="0B0C0C"/>
          <w:sz w:val="20"/>
          <w:szCs w:val="24"/>
        </w:rPr>
        <w:t>gender reassignment</w:t>
      </w:r>
    </w:p>
    <w:p w14:paraId="6E236E65"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r w:rsidRPr="00554B06">
        <w:rPr>
          <w:rFonts w:ascii="Arial" w:hAnsi="Arial" w:cs="Arial"/>
          <w:color w:val="0B0C0C"/>
          <w:sz w:val="20"/>
          <w:szCs w:val="24"/>
        </w:rPr>
        <w:t>being married or in a civil partnership</w:t>
      </w:r>
    </w:p>
    <w:p w14:paraId="604EFB25"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hyperlink r:id="rId12" w:history="1">
        <w:r w:rsidRPr="00554B06">
          <w:rPr>
            <w:rStyle w:val="Hyperlink"/>
            <w:rFonts w:ascii="Arial" w:hAnsi="Arial" w:cs="Arial"/>
            <w:color w:val="1D70B8"/>
            <w:sz w:val="20"/>
            <w:szCs w:val="24"/>
          </w:rPr>
          <w:t>being pregnant</w:t>
        </w:r>
      </w:hyperlink>
      <w:r w:rsidRPr="00554B06">
        <w:rPr>
          <w:rFonts w:ascii="Arial" w:hAnsi="Arial" w:cs="Arial"/>
          <w:color w:val="0B0C0C"/>
          <w:sz w:val="20"/>
          <w:szCs w:val="24"/>
        </w:rPr>
        <w:t> or on maternity leave</w:t>
      </w:r>
    </w:p>
    <w:p w14:paraId="5105AE5B"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hyperlink r:id="rId13" w:history="1">
        <w:r w:rsidRPr="00554B06">
          <w:rPr>
            <w:rStyle w:val="Hyperlink"/>
            <w:rFonts w:ascii="Arial" w:hAnsi="Arial" w:cs="Arial"/>
            <w:color w:val="1D70B8"/>
            <w:sz w:val="20"/>
            <w:szCs w:val="24"/>
          </w:rPr>
          <w:t>disability</w:t>
        </w:r>
      </w:hyperlink>
    </w:p>
    <w:p w14:paraId="61FEB2D2"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r w:rsidRPr="00554B06">
        <w:rPr>
          <w:rFonts w:ascii="Arial" w:hAnsi="Arial" w:cs="Arial"/>
          <w:color w:val="0B0C0C"/>
          <w:sz w:val="20"/>
          <w:szCs w:val="24"/>
        </w:rPr>
        <w:t>race including colour, nationality, ethnic or national origin</w:t>
      </w:r>
    </w:p>
    <w:p w14:paraId="031F135C"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r w:rsidRPr="00554B06">
        <w:rPr>
          <w:rFonts w:ascii="Arial" w:hAnsi="Arial" w:cs="Arial"/>
          <w:color w:val="0B0C0C"/>
          <w:sz w:val="20"/>
          <w:szCs w:val="24"/>
        </w:rPr>
        <w:t>religion or belief</w:t>
      </w:r>
    </w:p>
    <w:p w14:paraId="5A366791" w14:textId="77777777"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r w:rsidRPr="00554B06">
        <w:rPr>
          <w:rFonts w:ascii="Arial" w:hAnsi="Arial" w:cs="Arial"/>
          <w:color w:val="0B0C0C"/>
          <w:sz w:val="20"/>
          <w:szCs w:val="24"/>
        </w:rPr>
        <w:t>sex</w:t>
      </w:r>
    </w:p>
    <w:p w14:paraId="743019E4" w14:textId="23BC199E" w:rsidR="00F96017" w:rsidRPr="00554B06" w:rsidRDefault="00F96017" w:rsidP="00554B06">
      <w:pPr>
        <w:numPr>
          <w:ilvl w:val="0"/>
          <w:numId w:val="38"/>
        </w:numPr>
        <w:shd w:val="clear" w:color="auto" w:fill="FFFFFF"/>
        <w:spacing w:after="0" w:line="240" w:lineRule="auto"/>
        <w:ind w:left="300"/>
        <w:rPr>
          <w:rFonts w:ascii="Arial" w:hAnsi="Arial" w:cs="Arial"/>
          <w:color w:val="0B0C0C"/>
          <w:sz w:val="20"/>
          <w:szCs w:val="24"/>
        </w:rPr>
      </w:pPr>
      <w:r w:rsidRPr="00554B06">
        <w:rPr>
          <w:rFonts w:ascii="Arial" w:hAnsi="Arial" w:cs="Arial"/>
          <w:color w:val="0B0C0C"/>
          <w:sz w:val="20"/>
          <w:szCs w:val="24"/>
        </w:rPr>
        <w:t>sexual orientation</w:t>
      </w:r>
    </w:p>
    <w:p w14:paraId="022F7F52" w14:textId="77777777" w:rsidR="00F96017" w:rsidRPr="00554B06" w:rsidRDefault="00F96017" w:rsidP="00554B06">
      <w:pPr>
        <w:shd w:val="clear" w:color="auto" w:fill="FFFFFF"/>
        <w:spacing w:after="0" w:line="240" w:lineRule="auto"/>
        <w:ind w:left="-60"/>
        <w:rPr>
          <w:rFonts w:ascii="Arial" w:hAnsi="Arial" w:cs="Arial"/>
          <w:color w:val="0B0C0C"/>
          <w:sz w:val="20"/>
          <w:szCs w:val="24"/>
        </w:rPr>
      </w:pPr>
    </w:p>
    <w:p w14:paraId="745E261A" w14:textId="733413C0" w:rsidR="00F96017" w:rsidRPr="00554B06" w:rsidRDefault="00F96017" w:rsidP="00554B06">
      <w:pPr>
        <w:pStyle w:val="NormalWeb"/>
        <w:shd w:val="clear" w:color="auto" w:fill="FFFFFF"/>
        <w:spacing w:before="0" w:beforeAutospacing="0" w:after="0" w:afterAutospacing="0"/>
        <w:rPr>
          <w:rFonts w:ascii="Arial" w:hAnsi="Arial" w:cs="Arial"/>
          <w:color w:val="0B0C0C"/>
          <w:sz w:val="20"/>
        </w:rPr>
      </w:pPr>
      <w:r w:rsidRPr="00554B06">
        <w:rPr>
          <w:rFonts w:ascii="Arial" w:hAnsi="Arial" w:cs="Arial"/>
          <w:color w:val="0B0C0C"/>
          <w:sz w:val="20"/>
        </w:rPr>
        <w:t>These are called ‘protected characteristics’.</w:t>
      </w:r>
    </w:p>
    <w:p w14:paraId="2FE697FA" w14:textId="77777777" w:rsidR="00F96017" w:rsidRPr="00554B06" w:rsidRDefault="00F96017" w:rsidP="00554B06">
      <w:pPr>
        <w:pStyle w:val="NormalWeb"/>
        <w:shd w:val="clear" w:color="auto" w:fill="FFFFFF"/>
        <w:spacing w:before="0" w:beforeAutospacing="0" w:after="0" w:afterAutospacing="0"/>
        <w:rPr>
          <w:rFonts w:ascii="Arial" w:hAnsi="Arial" w:cs="Arial"/>
          <w:color w:val="0B0C0C"/>
          <w:sz w:val="16"/>
          <w:szCs w:val="20"/>
        </w:rPr>
      </w:pPr>
    </w:p>
    <w:p w14:paraId="23C9DDBE" w14:textId="55DB010A" w:rsidR="00B44C8D" w:rsidRPr="00554B06" w:rsidRDefault="00024E85" w:rsidP="00554B06">
      <w:pPr>
        <w:pStyle w:val="Heading3"/>
        <w:spacing w:before="0"/>
        <w:rPr>
          <w:rFonts w:ascii="Arial" w:hAnsi="Arial" w:cs="Arial"/>
          <w:color w:val="auto"/>
          <w:szCs w:val="30"/>
        </w:rPr>
      </w:pPr>
      <w:r w:rsidRPr="00554B06">
        <w:rPr>
          <w:rFonts w:ascii="Arial" w:hAnsi="Arial" w:cs="Arial"/>
          <w:color w:val="auto"/>
          <w:szCs w:val="30"/>
        </w:rPr>
        <w:t>Equality Act 2010</w:t>
      </w:r>
    </w:p>
    <w:p w14:paraId="4E64D1CF" w14:textId="77777777" w:rsidR="00024E85" w:rsidRPr="00554B06" w:rsidRDefault="00024E85" w:rsidP="00554B06">
      <w:pPr>
        <w:widowControl w:val="0"/>
        <w:autoSpaceDE w:val="0"/>
        <w:autoSpaceDN w:val="0"/>
        <w:adjustRightInd w:val="0"/>
        <w:spacing w:after="0"/>
        <w:ind w:right="130"/>
        <w:rPr>
          <w:rFonts w:ascii="Arial" w:hAnsi="Arial" w:cs="Arial"/>
          <w:color w:val="202122"/>
          <w:sz w:val="20"/>
          <w:szCs w:val="24"/>
          <w:shd w:val="clear" w:color="auto" w:fill="FFFFFF"/>
          <w:vertAlign w:val="superscript"/>
        </w:rPr>
      </w:pPr>
      <w:r w:rsidRPr="00554B06">
        <w:rPr>
          <w:rFonts w:ascii="Arial" w:hAnsi="Arial" w:cs="Arial"/>
          <w:color w:val="202122"/>
          <w:sz w:val="20"/>
          <w:szCs w:val="24"/>
          <w:shd w:val="clear" w:color="auto" w:fill="FFFFFF"/>
        </w:rPr>
        <w:t>The </w:t>
      </w:r>
      <w:r w:rsidRPr="00554B06">
        <w:rPr>
          <w:rFonts w:ascii="Arial" w:hAnsi="Arial" w:cs="Arial"/>
          <w:b/>
          <w:bCs/>
          <w:color w:val="202122"/>
          <w:sz w:val="20"/>
          <w:szCs w:val="24"/>
          <w:shd w:val="clear" w:color="auto" w:fill="FFFFFF"/>
        </w:rPr>
        <w:t>Equality Act 2010</w:t>
      </w:r>
      <w:hyperlink r:id="rId14" w:anchor="cite_note-act-1" w:history="1">
        <w:r w:rsidRPr="00554B06">
          <w:rPr>
            <w:rStyle w:val="Hyperlink"/>
            <w:rFonts w:ascii="Arial" w:hAnsi="Arial" w:cs="Arial"/>
            <w:color w:val="0645AD"/>
            <w:sz w:val="20"/>
            <w:szCs w:val="24"/>
            <w:shd w:val="clear" w:color="auto" w:fill="FFFFFF"/>
            <w:vertAlign w:val="superscript"/>
          </w:rPr>
          <w:t>[1]</w:t>
        </w:r>
      </w:hyperlink>
      <w:r w:rsidRPr="00554B06">
        <w:rPr>
          <w:rFonts w:ascii="Arial" w:hAnsi="Arial" w:cs="Arial"/>
          <w:color w:val="202122"/>
          <w:sz w:val="20"/>
          <w:szCs w:val="24"/>
          <w:shd w:val="clear" w:color="auto" w:fill="FFFFFF"/>
        </w:rPr>
        <w:t> is an </w:t>
      </w:r>
      <w:hyperlink r:id="rId15" w:tooltip="Act of Parliament" w:history="1">
        <w:r w:rsidRPr="00554B06">
          <w:rPr>
            <w:rStyle w:val="Hyperlink"/>
            <w:rFonts w:ascii="Arial" w:hAnsi="Arial" w:cs="Arial"/>
            <w:color w:val="0645AD"/>
            <w:sz w:val="20"/>
            <w:szCs w:val="24"/>
            <w:shd w:val="clear" w:color="auto" w:fill="FFFFFF"/>
          </w:rPr>
          <w:t>Act</w:t>
        </w:r>
      </w:hyperlink>
      <w:r w:rsidRPr="00554B06">
        <w:rPr>
          <w:rFonts w:ascii="Arial" w:hAnsi="Arial" w:cs="Arial"/>
          <w:color w:val="202122"/>
          <w:sz w:val="20"/>
          <w:szCs w:val="24"/>
          <w:shd w:val="clear" w:color="auto" w:fill="FFFFFF"/>
        </w:rPr>
        <w:t> of </w:t>
      </w:r>
      <w:hyperlink r:id="rId16" w:tooltip="Parliament of the United Kingdom" w:history="1">
        <w:r w:rsidRPr="00554B06">
          <w:rPr>
            <w:rStyle w:val="Hyperlink"/>
            <w:rFonts w:ascii="Arial" w:hAnsi="Arial" w:cs="Arial"/>
            <w:color w:val="0645AD"/>
            <w:sz w:val="20"/>
            <w:szCs w:val="24"/>
            <w:shd w:val="clear" w:color="auto" w:fill="FFFFFF"/>
          </w:rPr>
          <w:t>Parliament of the United Kingdom</w:t>
        </w:r>
      </w:hyperlink>
      <w:r w:rsidRPr="00554B06">
        <w:rPr>
          <w:rFonts w:ascii="Arial" w:hAnsi="Arial" w:cs="Arial"/>
          <w:color w:val="202122"/>
          <w:sz w:val="20"/>
          <w:szCs w:val="24"/>
          <w:shd w:val="clear" w:color="auto" w:fill="FFFFFF"/>
        </w:rPr>
        <w:t> passed during the </w:t>
      </w:r>
      <w:hyperlink r:id="rId17" w:tooltip="Brown ministry" w:history="1">
        <w:r w:rsidRPr="00554B06">
          <w:rPr>
            <w:rStyle w:val="Hyperlink"/>
            <w:rFonts w:ascii="Arial" w:hAnsi="Arial" w:cs="Arial"/>
            <w:color w:val="0645AD"/>
            <w:sz w:val="20"/>
            <w:szCs w:val="24"/>
            <w:shd w:val="clear" w:color="auto" w:fill="FFFFFF"/>
          </w:rPr>
          <w:t>Brown ministry</w:t>
        </w:r>
      </w:hyperlink>
      <w:r w:rsidRPr="00554B06">
        <w:rPr>
          <w:rFonts w:ascii="Arial" w:hAnsi="Arial" w:cs="Arial"/>
          <w:color w:val="202122"/>
          <w:sz w:val="20"/>
          <w:szCs w:val="24"/>
          <w:shd w:val="clear" w:color="auto" w:fill="FFFFFF"/>
        </w:rPr>
        <w:t> with the primary purpose of consolidating, updating and supplementing the numerous prior Acts and Regulations, that formed the basis of </w:t>
      </w:r>
      <w:hyperlink r:id="rId18" w:tooltip="Anti-discrimination law" w:history="1">
        <w:r w:rsidRPr="00554B06">
          <w:rPr>
            <w:rStyle w:val="Hyperlink"/>
            <w:rFonts w:ascii="Arial" w:hAnsi="Arial" w:cs="Arial"/>
            <w:color w:val="0645AD"/>
            <w:sz w:val="20"/>
            <w:szCs w:val="24"/>
            <w:shd w:val="clear" w:color="auto" w:fill="FFFFFF"/>
          </w:rPr>
          <w:t>anti-discrimination law</w:t>
        </w:r>
      </w:hyperlink>
      <w:r w:rsidRPr="00554B06">
        <w:rPr>
          <w:rFonts w:ascii="Arial" w:hAnsi="Arial" w:cs="Arial"/>
          <w:color w:val="202122"/>
          <w:sz w:val="20"/>
          <w:szCs w:val="24"/>
          <w:shd w:val="clear" w:color="auto" w:fill="FFFFFF"/>
        </w:rPr>
        <w:t> in mostly England, Scotland and Wales; some sections also apply to </w:t>
      </w:r>
      <w:hyperlink r:id="rId19" w:tooltip="Northern Ireland" w:history="1">
        <w:r w:rsidRPr="00554B06">
          <w:rPr>
            <w:rStyle w:val="Hyperlink"/>
            <w:rFonts w:ascii="Arial" w:hAnsi="Arial" w:cs="Arial"/>
            <w:color w:val="0645AD"/>
            <w:sz w:val="20"/>
            <w:szCs w:val="24"/>
            <w:shd w:val="clear" w:color="auto" w:fill="FFFFFF"/>
          </w:rPr>
          <w:t>Northern Ireland</w:t>
        </w:r>
      </w:hyperlink>
      <w:r w:rsidRPr="00554B06">
        <w:rPr>
          <w:rFonts w:ascii="Arial" w:hAnsi="Arial" w:cs="Arial"/>
          <w:color w:val="202122"/>
          <w:sz w:val="20"/>
          <w:szCs w:val="24"/>
          <w:shd w:val="clear" w:color="auto" w:fill="FFFFFF"/>
        </w:rPr>
        <w:t>. These consisted, primarily, of the </w:t>
      </w:r>
      <w:hyperlink r:id="rId20" w:history="1">
        <w:r w:rsidRPr="00554B06">
          <w:rPr>
            <w:rStyle w:val="Hyperlink"/>
            <w:rFonts w:ascii="Arial" w:hAnsi="Arial" w:cs="Arial"/>
            <w:color w:val="0645AD"/>
            <w:sz w:val="20"/>
            <w:szCs w:val="24"/>
            <w:shd w:val="clear" w:color="auto" w:fill="FFFFFF"/>
          </w:rPr>
          <w:t>Equal Pay Act 1970</w:t>
        </w:r>
      </w:hyperlink>
      <w:r w:rsidRPr="00554B06">
        <w:rPr>
          <w:rFonts w:ascii="Arial" w:hAnsi="Arial" w:cs="Arial"/>
          <w:color w:val="202122"/>
          <w:sz w:val="20"/>
          <w:szCs w:val="24"/>
          <w:shd w:val="clear" w:color="auto" w:fill="FFFFFF"/>
        </w:rPr>
        <w:t>, the </w:t>
      </w:r>
      <w:hyperlink r:id="rId21" w:tooltip="Sex Discrimination Act 1975" w:history="1">
        <w:r w:rsidRPr="00554B06">
          <w:rPr>
            <w:rStyle w:val="Hyperlink"/>
            <w:rFonts w:ascii="Arial" w:hAnsi="Arial" w:cs="Arial"/>
            <w:color w:val="0645AD"/>
            <w:sz w:val="20"/>
            <w:szCs w:val="24"/>
            <w:shd w:val="clear" w:color="auto" w:fill="FFFFFF"/>
          </w:rPr>
          <w:t>Sex Discrimination Act 1975</w:t>
        </w:r>
      </w:hyperlink>
      <w:r w:rsidRPr="00554B06">
        <w:rPr>
          <w:rFonts w:ascii="Arial" w:hAnsi="Arial" w:cs="Arial"/>
          <w:color w:val="202122"/>
          <w:sz w:val="20"/>
          <w:szCs w:val="24"/>
          <w:shd w:val="clear" w:color="auto" w:fill="FFFFFF"/>
        </w:rPr>
        <w:t>, the </w:t>
      </w:r>
      <w:hyperlink r:id="rId22" w:tooltip="Race Relations Act 1976" w:history="1">
        <w:r w:rsidRPr="00554B06">
          <w:rPr>
            <w:rStyle w:val="Hyperlink"/>
            <w:rFonts w:ascii="Arial" w:hAnsi="Arial" w:cs="Arial"/>
            <w:color w:val="0645AD"/>
            <w:sz w:val="20"/>
            <w:szCs w:val="24"/>
            <w:shd w:val="clear" w:color="auto" w:fill="FFFFFF"/>
          </w:rPr>
          <w:t>Race Relations Act 1976</w:t>
        </w:r>
      </w:hyperlink>
      <w:r w:rsidRPr="00554B06">
        <w:rPr>
          <w:rFonts w:ascii="Arial" w:hAnsi="Arial" w:cs="Arial"/>
          <w:color w:val="202122"/>
          <w:sz w:val="20"/>
          <w:szCs w:val="24"/>
          <w:shd w:val="clear" w:color="auto" w:fill="FFFFFF"/>
        </w:rPr>
        <w:t>, the </w:t>
      </w:r>
      <w:hyperlink r:id="rId23" w:tooltip="Disability Discrimination Act 1995" w:history="1">
        <w:r w:rsidRPr="00554B06">
          <w:rPr>
            <w:rStyle w:val="Hyperlink"/>
            <w:rFonts w:ascii="Arial" w:hAnsi="Arial" w:cs="Arial"/>
            <w:color w:val="0645AD"/>
            <w:sz w:val="20"/>
            <w:szCs w:val="24"/>
            <w:shd w:val="clear" w:color="auto" w:fill="FFFFFF"/>
          </w:rPr>
          <w:t>Disability Discrimination Act 1995</w:t>
        </w:r>
      </w:hyperlink>
      <w:r w:rsidRPr="00554B06">
        <w:rPr>
          <w:rFonts w:ascii="Arial" w:hAnsi="Arial" w:cs="Arial"/>
          <w:color w:val="202122"/>
          <w:sz w:val="20"/>
          <w:szCs w:val="24"/>
          <w:shd w:val="clear" w:color="auto" w:fill="FFFFFF"/>
        </w:rPr>
        <w:t> and three major </w:t>
      </w:r>
      <w:hyperlink r:id="rId24" w:tooltip="Statutory instruments" w:history="1">
        <w:r w:rsidRPr="00554B06">
          <w:rPr>
            <w:rStyle w:val="Hyperlink"/>
            <w:rFonts w:ascii="Arial" w:hAnsi="Arial" w:cs="Arial"/>
            <w:color w:val="0645AD"/>
            <w:sz w:val="20"/>
            <w:szCs w:val="24"/>
            <w:shd w:val="clear" w:color="auto" w:fill="FFFFFF"/>
          </w:rPr>
          <w:t>statutory instruments</w:t>
        </w:r>
      </w:hyperlink>
      <w:r w:rsidRPr="00554B06">
        <w:rPr>
          <w:rFonts w:ascii="Arial" w:hAnsi="Arial" w:cs="Arial"/>
          <w:color w:val="202122"/>
          <w:sz w:val="20"/>
          <w:szCs w:val="24"/>
          <w:shd w:val="clear" w:color="auto" w:fill="FFFFFF"/>
        </w:rPr>
        <w:t> protecting discrimination in employment on grounds of </w:t>
      </w:r>
      <w:hyperlink r:id="rId25" w:tooltip="Employment Equality (Religion or Belief) Regulations 2003" w:history="1">
        <w:r w:rsidRPr="00554B06">
          <w:rPr>
            <w:rStyle w:val="Hyperlink"/>
            <w:rFonts w:ascii="Arial" w:hAnsi="Arial" w:cs="Arial"/>
            <w:color w:val="0645AD"/>
            <w:sz w:val="20"/>
            <w:szCs w:val="24"/>
            <w:shd w:val="clear" w:color="auto" w:fill="FFFFFF"/>
          </w:rPr>
          <w:t>religion or belief</w:t>
        </w:r>
      </w:hyperlink>
      <w:r w:rsidRPr="00554B06">
        <w:rPr>
          <w:rFonts w:ascii="Arial" w:hAnsi="Arial" w:cs="Arial"/>
          <w:color w:val="202122"/>
          <w:sz w:val="20"/>
          <w:szCs w:val="24"/>
          <w:shd w:val="clear" w:color="auto" w:fill="FFFFFF"/>
        </w:rPr>
        <w:t>, </w:t>
      </w:r>
      <w:hyperlink r:id="rId26" w:tooltip="Employment Equality (Sexual Orientation) Regulations 2003" w:history="1">
        <w:r w:rsidRPr="00554B06">
          <w:rPr>
            <w:rStyle w:val="Hyperlink"/>
            <w:rFonts w:ascii="Arial" w:hAnsi="Arial" w:cs="Arial"/>
            <w:color w:val="0645AD"/>
            <w:sz w:val="20"/>
            <w:szCs w:val="24"/>
            <w:shd w:val="clear" w:color="auto" w:fill="FFFFFF"/>
          </w:rPr>
          <w:t>sexual orientation</w:t>
        </w:r>
      </w:hyperlink>
      <w:r w:rsidRPr="00554B06">
        <w:rPr>
          <w:rFonts w:ascii="Arial" w:hAnsi="Arial" w:cs="Arial"/>
          <w:color w:val="202122"/>
          <w:sz w:val="20"/>
          <w:szCs w:val="24"/>
          <w:shd w:val="clear" w:color="auto" w:fill="FFFFFF"/>
        </w:rPr>
        <w:t> and </w:t>
      </w:r>
      <w:hyperlink r:id="rId27" w:tooltip="Employment Equality (Age) Regulations 2006" w:history="1">
        <w:r w:rsidRPr="00554B06">
          <w:rPr>
            <w:rStyle w:val="Hyperlink"/>
            <w:rFonts w:ascii="Arial" w:hAnsi="Arial" w:cs="Arial"/>
            <w:color w:val="0645AD"/>
            <w:sz w:val="20"/>
            <w:szCs w:val="24"/>
            <w:shd w:val="clear" w:color="auto" w:fill="FFFFFF"/>
          </w:rPr>
          <w:t>age</w:t>
        </w:r>
      </w:hyperlink>
      <w:r w:rsidRPr="00554B06">
        <w:rPr>
          <w:rFonts w:ascii="Arial" w:hAnsi="Arial" w:cs="Arial"/>
          <w:color w:val="202122"/>
          <w:sz w:val="20"/>
          <w:szCs w:val="24"/>
          <w:shd w:val="clear" w:color="auto" w:fill="FFFFFF"/>
        </w:rPr>
        <w:t>.</w:t>
      </w:r>
      <w:hyperlink r:id="rId28" w:anchor="cite_note-2" w:history="1">
        <w:r w:rsidRPr="00554B06">
          <w:rPr>
            <w:rStyle w:val="Hyperlink"/>
            <w:rFonts w:ascii="Arial" w:hAnsi="Arial" w:cs="Arial"/>
            <w:color w:val="0645AD"/>
            <w:sz w:val="20"/>
            <w:szCs w:val="24"/>
            <w:shd w:val="clear" w:color="auto" w:fill="FFFFFF"/>
            <w:vertAlign w:val="superscript"/>
          </w:rPr>
          <w:t>[2]</w:t>
        </w:r>
      </w:hyperlink>
    </w:p>
    <w:p w14:paraId="661A9DFC" w14:textId="77777777" w:rsidR="00024E85" w:rsidRPr="00554B06" w:rsidRDefault="00024E85" w:rsidP="00554B06">
      <w:pPr>
        <w:widowControl w:val="0"/>
        <w:autoSpaceDE w:val="0"/>
        <w:autoSpaceDN w:val="0"/>
        <w:adjustRightInd w:val="0"/>
        <w:spacing w:after="0"/>
        <w:ind w:right="130"/>
        <w:rPr>
          <w:rFonts w:ascii="Arial" w:hAnsi="Arial" w:cs="Arial"/>
          <w:color w:val="202122"/>
          <w:sz w:val="16"/>
          <w:szCs w:val="20"/>
          <w:shd w:val="clear" w:color="auto" w:fill="FFFFFF"/>
          <w:vertAlign w:val="superscript"/>
        </w:rPr>
      </w:pPr>
    </w:p>
    <w:p w14:paraId="2F900638" w14:textId="78779DA3" w:rsidR="00B44C8D" w:rsidRPr="00554B06" w:rsidRDefault="00024E85" w:rsidP="00554B06">
      <w:pPr>
        <w:widowControl w:val="0"/>
        <w:autoSpaceDE w:val="0"/>
        <w:autoSpaceDN w:val="0"/>
        <w:adjustRightInd w:val="0"/>
        <w:spacing w:after="0"/>
        <w:ind w:right="130"/>
        <w:rPr>
          <w:rFonts w:ascii="Arial" w:hAnsi="Arial" w:cs="Arial"/>
          <w:sz w:val="24"/>
          <w:szCs w:val="30"/>
        </w:rPr>
      </w:pPr>
      <w:r w:rsidRPr="00554B06">
        <w:rPr>
          <w:rFonts w:ascii="Arial" w:hAnsi="Arial" w:cs="Arial"/>
          <w:sz w:val="24"/>
          <w:szCs w:val="30"/>
        </w:rPr>
        <w:t>H</w:t>
      </w:r>
      <w:r w:rsidR="00F96017" w:rsidRPr="00554B06">
        <w:rPr>
          <w:rFonts w:ascii="Arial" w:hAnsi="Arial" w:cs="Arial"/>
          <w:sz w:val="24"/>
          <w:szCs w:val="30"/>
        </w:rPr>
        <w:t>ow can we promote equality</w:t>
      </w:r>
      <w:r w:rsidR="00B44C8D" w:rsidRPr="00554B06">
        <w:rPr>
          <w:rFonts w:ascii="Arial" w:hAnsi="Arial" w:cs="Arial"/>
          <w:sz w:val="24"/>
          <w:szCs w:val="30"/>
        </w:rPr>
        <w:t>?</w:t>
      </w:r>
    </w:p>
    <w:p w14:paraId="213C6DAC" w14:textId="0B193854" w:rsidR="00F96017" w:rsidRPr="00554B06" w:rsidRDefault="00F96017" w:rsidP="00554B06">
      <w:pPr>
        <w:pStyle w:val="ListParagraph"/>
        <w:widowControl w:val="0"/>
        <w:numPr>
          <w:ilvl w:val="0"/>
          <w:numId w:val="39"/>
        </w:numPr>
        <w:autoSpaceDE w:val="0"/>
        <w:autoSpaceDN w:val="0"/>
        <w:adjustRightInd w:val="0"/>
        <w:spacing w:after="0"/>
        <w:ind w:right="130"/>
        <w:rPr>
          <w:rFonts w:ascii="Arial" w:hAnsi="Arial" w:cs="Arial"/>
          <w:sz w:val="20"/>
          <w:szCs w:val="24"/>
        </w:rPr>
      </w:pPr>
      <w:r w:rsidRPr="00554B06">
        <w:rPr>
          <w:rFonts w:ascii="Arial" w:hAnsi="Arial" w:cs="Arial"/>
          <w:sz w:val="20"/>
          <w:szCs w:val="24"/>
        </w:rPr>
        <w:t>Treat everyone equally – lead by example</w:t>
      </w:r>
    </w:p>
    <w:p w14:paraId="6192B027" w14:textId="1392612A" w:rsidR="00F96017" w:rsidRPr="00554B06" w:rsidRDefault="00F96017" w:rsidP="00554B06">
      <w:pPr>
        <w:pStyle w:val="ListParagraph"/>
        <w:widowControl w:val="0"/>
        <w:numPr>
          <w:ilvl w:val="0"/>
          <w:numId w:val="39"/>
        </w:numPr>
        <w:autoSpaceDE w:val="0"/>
        <w:autoSpaceDN w:val="0"/>
        <w:adjustRightInd w:val="0"/>
        <w:spacing w:after="0"/>
        <w:ind w:right="130"/>
        <w:rPr>
          <w:rFonts w:ascii="Arial" w:hAnsi="Arial" w:cs="Arial"/>
          <w:sz w:val="20"/>
          <w:szCs w:val="24"/>
        </w:rPr>
      </w:pPr>
      <w:r w:rsidRPr="00554B06">
        <w:rPr>
          <w:rFonts w:ascii="Arial" w:hAnsi="Arial" w:cs="Arial"/>
          <w:sz w:val="20"/>
          <w:szCs w:val="24"/>
        </w:rPr>
        <w:t>Create an inclusive culture that has respect for all cultures and religions</w:t>
      </w:r>
      <w:r w:rsidR="00024E85" w:rsidRPr="00554B06">
        <w:rPr>
          <w:rFonts w:ascii="Arial" w:hAnsi="Arial" w:cs="Arial"/>
          <w:sz w:val="20"/>
          <w:szCs w:val="24"/>
        </w:rPr>
        <w:t xml:space="preserve"> – don’t accept discriminatory attitudes</w:t>
      </w:r>
    </w:p>
    <w:p w14:paraId="6590CEFF" w14:textId="74A93FC3" w:rsidR="00F96017" w:rsidRPr="00554B06" w:rsidRDefault="00F96017" w:rsidP="00554B06">
      <w:pPr>
        <w:pStyle w:val="ListParagraph"/>
        <w:widowControl w:val="0"/>
        <w:numPr>
          <w:ilvl w:val="0"/>
          <w:numId w:val="39"/>
        </w:numPr>
        <w:autoSpaceDE w:val="0"/>
        <w:autoSpaceDN w:val="0"/>
        <w:adjustRightInd w:val="0"/>
        <w:spacing w:after="0"/>
        <w:ind w:right="130"/>
        <w:rPr>
          <w:rFonts w:ascii="Arial" w:hAnsi="Arial" w:cs="Arial"/>
          <w:sz w:val="20"/>
          <w:szCs w:val="24"/>
        </w:rPr>
      </w:pPr>
      <w:r w:rsidRPr="00554B06">
        <w:rPr>
          <w:rFonts w:ascii="Arial" w:hAnsi="Arial" w:cs="Arial"/>
          <w:sz w:val="20"/>
          <w:szCs w:val="24"/>
        </w:rPr>
        <w:t>Ensure equal access to opportunities for all the citizens</w:t>
      </w:r>
    </w:p>
    <w:p w14:paraId="1C0024E3" w14:textId="122BC304" w:rsidR="00F96017" w:rsidRPr="00554B06" w:rsidRDefault="00F96017" w:rsidP="00554B06">
      <w:pPr>
        <w:pStyle w:val="ListParagraph"/>
        <w:widowControl w:val="0"/>
        <w:numPr>
          <w:ilvl w:val="0"/>
          <w:numId w:val="39"/>
        </w:numPr>
        <w:autoSpaceDE w:val="0"/>
        <w:autoSpaceDN w:val="0"/>
        <w:adjustRightInd w:val="0"/>
        <w:spacing w:after="0"/>
        <w:ind w:right="130"/>
        <w:rPr>
          <w:rFonts w:ascii="Arial" w:hAnsi="Arial" w:cs="Arial"/>
          <w:sz w:val="20"/>
          <w:szCs w:val="24"/>
        </w:rPr>
      </w:pPr>
      <w:r w:rsidRPr="00554B06">
        <w:rPr>
          <w:rFonts w:ascii="Arial" w:hAnsi="Arial" w:cs="Arial"/>
          <w:sz w:val="20"/>
          <w:szCs w:val="24"/>
        </w:rPr>
        <w:t xml:space="preserve">Enable people to develop their </w:t>
      </w:r>
      <w:r w:rsidR="00024E85" w:rsidRPr="00554B06">
        <w:rPr>
          <w:rFonts w:ascii="Arial" w:hAnsi="Arial" w:cs="Arial"/>
          <w:sz w:val="20"/>
          <w:szCs w:val="24"/>
        </w:rPr>
        <w:t>f</w:t>
      </w:r>
      <w:r w:rsidRPr="00554B06">
        <w:rPr>
          <w:rFonts w:ascii="Arial" w:hAnsi="Arial" w:cs="Arial"/>
          <w:sz w:val="20"/>
          <w:szCs w:val="24"/>
        </w:rPr>
        <w:t>ull potential</w:t>
      </w:r>
    </w:p>
    <w:p w14:paraId="2FB5A872" w14:textId="5EF02F68" w:rsidR="00F96017" w:rsidRPr="00554B06" w:rsidRDefault="00F96017" w:rsidP="00554B06">
      <w:pPr>
        <w:pStyle w:val="ListParagraph"/>
        <w:widowControl w:val="0"/>
        <w:numPr>
          <w:ilvl w:val="0"/>
          <w:numId w:val="39"/>
        </w:numPr>
        <w:autoSpaceDE w:val="0"/>
        <w:autoSpaceDN w:val="0"/>
        <w:adjustRightInd w:val="0"/>
        <w:spacing w:after="0"/>
        <w:ind w:right="130"/>
        <w:rPr>
          <w:rFonts w:ascii="Arial" w:hAnsi="Arial" w:cs="Arial"/>
          <w:sz w:val="20"/>
          <w:szCs w:val="24"/>
        </w:rPr>
      </w:pPr>
      <w:r w:rsidRPr="00554B06">
        <w:rPr>
          <w:rFonts w:ascii="Arial" w:hAnsi="Arial" w:cs="Arial"/>
          <w:sz w:val="20"/>
          <w:szCs w:val="24"/>
        </w:rPr>
        <w:t>Educate people and make them understand the importance of equality.</w:t>
      </w:r>
    </w:p>
    <w:p w14:paraId="07273293" w14:textId="77777777" w:rsidR="00B44C8D" w:rsidRPr="00554B06" w:rsidRDefault="00B44C8D" w:rsidP="00554B06">
      <w:pPr>
        <w:pStyle w:val="Heading3"/>
        <w:spacing w:before="0"/>
        <w:rPr>
          <w:rFonts w:ascii="Arial" w:hAnsi="Arial" w:cs="Arial"/>
          <w:color w:val="auto"/>
          <w:sz w:val="16"/>
          <w:szCs w:val="20"/>
        </w:rPr>
      </w:pPr>
    </w:p>
    <w:p w14:paraId="79801B41" w14:textId="1CE28007" w:rsidR="00B44C8D" w:rsidRPr="00554B06" w:rsidRDefault="00B44C8D" w:rsidP="00554B06">
      <w:pPr>
        <w:pStyle w:val="Heading3"/>
        <w:spacing w:before="0"/>
        <w:rPr>
          <w:rFonts w:ascii="Arial" w:hAnsi="Arial" w:cs="Arial"/>
          <w:color w:val="auto"/>
          <w:szCs w:val="30"/>
        </w:rPr>
      </w:pPr>
      <w:r w:rsidRPr="00554B06">
        <w:rPr>
          <w:rFonts w:ascii="Arial" w:hAnsi="Arial" w:cs="Arial"/>
          <w:color w:val="auto"/>
          <w:szCs w:val="30"/>
        </w:rPr>
        <w:t>What should school staff do?</w:t>
      </w:r>
    </w:p>
    <w:p w14:paraId="1B64DF2A" w14:textId="77777777" w:rsidR="00D64231" w:rsidRDefault="00024E85" w:rsidP="00554B06">
      <w:pPr>
        <w:pStyle w:val="Default"/>
        <w:rPr>
          <w:rFonts w:ascii="Arial" w:hAnsi="Arial" w:cs="Arial"/>
          <w:color w:val="auto"/>
          <w:sz w:val="20"/>
        </w:rPr>
      </w:pPr>
      <w:r w:rsidRPr="00554B06">
        <w:rPr>
          <w:rFonts w:ascii="Arial" w:hAnsi="Arial" w:cs="Arial"/>
          <w:color w:val="auto"/>
          <w:sz w:val="20"/>
        </w:rPr>
        <w:t>If you suspect discrimination is taking place in any way, shape or form (whether that be amongst the children or staff), then you should always be proactive and bring this up with DSLs and SLT in school immediately, for them to intervene, risk assess and put plans in place to support children / staff.</w:t>
      </w:r>
    </w:p>
    <w:p w14:paraId="227BEE39" w14:textId="77777777" w:rsidR="00D64231" w:rsidRDefault="00D64231" w:rsidP="00554B06">
      <w:pPr>
        <w:pStyle w:val="Default"/>
        <w:rPr>
          <w:rFonts w:ascii="Arial" w:hAnsi="Arial" w:cs="Arial"/>
          <w:color w:val="auto"/>
          <w:sz w:val="20"/>
        </w:rPr>
      </w:pPr>
    </w:p>
    <w:p w14:paraId="5EE2F0E3" w14:textId="07D21BAA" w:rsidR="00F96017" w:rsidRPr="00554B06" w:rsidRDefault="00D64231" w:rsidP="00554B06">
      <w:pPr>
        <w:pStyle w:val="Default"/>
        <w:rPr>
          <w:rFonts w:ascii="Arial" w:hAnsi="Arial" w:cs="Arial"/>
          <w:color w:val="auto"/>
          <w:sz w:val="20"/>
        </w:rPr>
      </w:pPr>
      <w:bookmarkStart w:id="0" w:name="_GoBack"/>
      <w:bookmarkEnd w:id="0"/>
      <w:r>
        <w:rPr>
          <w:rFonts w:ascii="Arial" w:hAnsi="Arial" w:cs="Arial"/>
          <w:color w:val="auto"/>
          <w:sz w:val="20"/>
        </w:rPr>
        <w:t>If you have ideas as to how we could improve our targets below, please let SLT know.</w:t>
      </w:r>
    </w:p>
    <w:p w14:paraId="67675B32" w14:textId="77777777" w:rsidR="00024E85" w:rsidRPr="00554B06" w:rsidRDefault="00024E85" w:rsidP="00554B06">
      <w:pPr>
        <w:pStyle w:val="Heading3"/>
        <w:spacing w:before="0"/>
        <w:rPr>
          <w:rFonts w:ascii="Arial" w:hAnsi="Arial" w:cs="Arial"/>
          <w:color w:val="auto"/>
          <w:sz w:val="16"/>
          <w:szCs w:val="20"/>
        </w:rPr>
      </w:pPr>
    </w:p>
    <w:p w14:paraId="124050F8" w14:textId="22D0313E" w:rsidR="00DB0120" w:rsidRPr="00554B06" w:rsidRDefault="00024E85" w:rsidP="00554B06">
      <w:pPr>
        <w:pStyle w:val="Heading3"/>
        <w:spacing w:before="0"/>
        <w:rPr>
          <w:rFonts w:ascii="Arial" w:hAnsi="Arial" w:cs="Arial"/>
          <w:color w:val="auto"/>
          <w:szCs w:val="30"/>
        </w:rPr>
      </w:pPr>
      <w:r w:rsidRPr="00554B06">
        <w:rPr>
          <w:rFonts w:ascii="Arial" w:hAnsi="Arial" w:cs="Arial"/>
          <w:color w:val="auto"/>
          <w:szCs w:val="30"/>
        </w:rPr>
        <w:t xml:space="preserve">Our </w:t>
      </w:r>
      <w:r w:rsidR="00D64231">
        <w:rPr>
          <w:rFonts w:ascii="Arial" w:hAnsi="Arial" w:cs="Arial"/>
          <w:color w:val="auto"/>
          <w:szCs w:val="30"/>
        </w:rPr>
        <w:t xml:space="preserve">school’s </w:t>
      </w:r>
      <w:r w:rsidR="00554B06" w:rsidRPr="00554B06">
        <w:rPr>
          <w:rFonts w:ascii="Arial" w:hAnsi="Arial" w:cs="Arial"/>
          <w:color w:val="auto"/>
          <w:szCs w:val="30"/>
        </w:rPr>
        <w:t>Equality Objectives</w:t>
      </w:r>
    </w:p>
    <w:tbl>
      <w:tblPr>
        <w:tblStyle w:val="TableGrid"/>
        <w:tblW w:w="0" w:type="auto"/>
        <w:tblLook w:val="04A0" w:firstRow="1" w:lastRow="0" w:firstColumn="1" w:lastColumn="0" w:noHBand="0" w:noVBand="1"/>
      </w:tblPr>
      <w:tblGrid>
        <w:gridCol w:w="2366"/>
        <w:gridCol w:w="8256"/>
      </w:tblGrid>
      <w:tr w:rsidR="00554B06" w:rsidRPr="00554B06" w14:paraId="7D62DD87" w14:textId="77777777" w:rsidTr="00FB5C6D">
        <w:tc>
          <w:tcPr>
            <w:tcW w:w="2366" w:type="dxa"/>
          </w:tcPr>
          <w:p w14:paraId="5ABC536D" w14:textId="77777777" w:rsidR="00554B06" w:rsidRPr="00554B06" w:rsidRDefault="00554B06" w:rsidP="00554B06">
            <w:pPr>
              <w:rPr>
                <w:rFonts w:ascii="Arial" w:hAnsi="Arial" w:cs="Arial"/>
                <w:b/>
                <w:bCs/>
                <w:sz w:val="18"/>
              </w:rPr>
            </w:pPr>
            <w:r w:rsidRPr="00554B06">
              <w:rPr>
                <w:rFonts w:ascii="Arial" w:hAnsi="Arial" w:cs="Arial"/>
                <w:b/>
                <w:bCs/>
                <w:sz w:val="18"/>
              </w:rPr>
              <w:t xml:space="preserve">Objective 1 </w:t>
            </w:r>
          </w:p>
        </w:tc>
        <w:tc>
          <w:tcPr>
            <w:tcW w:w="8256" w:type="dxa"/>
          </w:tcPr>
          <w:p w14:paraId="05D95372" w14:textId="77777777" w:rsidR="00554B06" w:rsidRPr="00554B06" w:rsidRDefault="00554B06" w:rsidP="00554B06">
            <w:pPr>
              <w:rPr>
                <w:rFonts w:ascii="Arial" w:hAnsi="Arial" w:cs="Arial"/>
                <w:b/>
                <w:bCs/>
                <w:sz w:val="18"/>
              </w:rPr>
            </w:pPr>
            <w:r w:rsidRPr="00554B06">
              <w:rPr>
                <w:rFonts w:ascii="Arial" w:hAnsi="Arial" w:cs="Arial"/>
                <w:b/>
                <w:bCs/>
                <w:sz w:val="18"/>
              </w:rPr>
              <w:t xml:space="preserve">To further develop the accessibility of information relating to school life for parents/carers with difficulties accessing written language (e.g. parents/carers with English as an Additional Language, Speech and Language difficulties </w:t>
            </w:r>
            <w:proofErr w:type="spellStart"/>
            <w:r w:rsidRPr="00554B06">
              <w:rPr>
                <w:rFonts w:ascii="Arial" w:hAnsi="Arial" w:cs="Arial"/>
                <w:b/>
                <w:bCs/>
                <w:sz w:val="18"/>
              </w:rPr>
              <w:t>etc</w:t>
            </w:r>
            <w:proofErr w:type="spellEnd"/>
            <w:r w:rsidRPr="00554B06">
              <w:rPr>
                <w:rFonts w:ascii="Arial" w:hAnsi="Arial" w:cs="Arial"/>
                <w:b/>
                <w:bCs/>
                <w:sz w:val="18"/>
              </w:rPr>
              <w:t>).</w:t>
            </w:r>
          </w:p>
        </w:tc>
      </w:tr>
      <w:tr w:rsidR="00554B06" w:rsidRPr="00554B06" w14:paraId="556C293F" w14:textId="77777777" w:rsidTr="00FB5C6D">
        <w:tc>
          <w:tcPr>
            <w:tcW w:w="2366" w:type="dxa"/>
          </w:tcPr>
          <w:p w14:paraId="54D98F2F" w14:textId="77777777" w:rsidR="00554B06" w:rsidRPr="00554B06" w:rsidRDefault="00554B06" w:rsidP="00554B06">
            <w:pPr>
              <w:rPr>
                <w:rFonts w:ascii="Arial" w:hAnsi="Arial" w:cs="Arial"/>
                <w:b/>
                <w:bCs/>
                <w:sz w:val="18"/>
              </w:rPr>
            </w:pPr>
            <w:r w:rsidRPr="00554B06">
              <w:rPr>
                <w:rFonts w:ascii="Arial" w:hAnsi="Arial" w:cs="Arial"/>
                <w:b/>
                <w:bCs/>
                <w:sz w:val="18"/>
              </w:rPr>
              <w:t>Objective 2</w:t>
            </w:r>
          </w:p>
        </w:tc>
        <w:tc>
          <w:tcPr>
            <w:tcW w:w="8256" w:type="dxa"/>
          </w:tcPr>
          <w:p w14:paraId="3956E3C1" w14:textId="77777777" w:rsidR="00554B06" w:rsidRPr="00554B06" w:rsidRDefault="00554B06" w:rsidP="00554B06">
            <w:pPr>
              <w:rPr>
                <w:rFonts w:ascii="Arial" w:hAnsi="Arial" w:cs="Arial"/>
                <w:b/>
                <w:bCs/>
                <w:sz w:val="18"/>
              </w:rPr>
            </w:pPr>
            <w:r w:rsidRPr="00554B06">
              <w:rPr>
                <w:rFonts w:ascii="Arial" w:hAnsi="Arial" w:cs="Arial"/>
                <w:b/>
                <w:bCs/>
                <w:sz w:val="18"/>
                <w:u w:color="000000"/>
              </w:rPr>
              <w:t xml:space="preserve">To further develop opportunities for children to engage with people from different ethnic/religious/cultural backgrounds in order to raise children’s awareness of the multicultural world in which they live. </w:t>
            </w:r>
          </w:p>
        </w:tc>
      </w:tr>
      <w:tr w:rsidR="00554B06" w:rsidRPr="00554B06" w14:paraId="5A9EA709" w14:textId="77777777" w:rsidTr="00FB5C6D">
        <w:tc>
          <w:tcPr>
            <w:tcW w:w="2366" w:type="dxa"/>
          </w:tcPr>
          <w:p w14:paraId="31773054" w14:textId="77777777" w:rsidR="00554B06" w:rsidRPr="00554B06" w:rsidRDefault="00554B06" w:rsidP="00554B06">
            <w:pPr>
              <w:rPr>
                <w:rFonts w:ascii="Arial" w:hAnsi="Arial" w:cs="Arial"/>
                <w:b/>
                <w:bCs/>
                <w:sz w:val="18"/>
              </w:rPr>
            </w:pPr>
            <w:r w:rsidRPr="00554B06">
              <w:rPr>
                <w:rFonts w:ascii="Arial" w:hAnsi="Arial" w:cs="Arial"/>
                <w:b/>
                <w:bCs/>
                <w:sz w:val="18"/>
              </w:rPr>
              <w:t>Objective 3</w:t>
            </w:r>
          </w:p>
        </w:tc>
        <w:tc>
          <w:tcPr>
            <w:tcW w:w="8256" w:type="dxa"/>
          </w:tcPr>
          <w:p w14:paraId="4485C335" w14:textId="77777777" w:rsidR="00554B06" w:rsidRPr="00554B06" w:rsidRDefault="00554B06" w:rsidP="00554B06">
            <w:pPr>
              <w:rPr>
                <w:rFonts w:ascii="Arial" w:hAnsi="Arial" w:cs="Arial"/>
                <w:b/>
                <w:bCs/>
                <w:sz w:val="18"/>
              </w:rPr>
            </w:pPr>
            <w:r w:rsidRPr="00554B06">
              <w:rPr>
                <w:rFonts w:ascii="Arial" w:hAnsi="Arial" w:cs="Arial"/>
                <w:b/>
                <w:bCs/>
                <w:sz w:val="18"/>
                <w:u w:color="000000"/>
              </w:rPr>
              <w:t xml:space="preserve">To raise aspirations among children and parents/carers and raise awareness of a career options for all children, challenging gender stereotypes. </w:t>
            </w:r>
          </w:p>
        </w:tc>
      </w:tr>
      <w:tr w:rsidR="00554B06" w:rsidRPr="00554B06" w14:paraId="1D5DD374" w14:textId="77777777" w:rsidTr="00FB5C6D">
        <w:tc>
          <w:tcPr>
            <w:tcW w:w="2366" w:type="dxa"/>
          </w:tcPr>
          <w:p w14:paraId="137AFBDC" w14:textId="77777777" w:rsidR="00554B06" w:rsidRPr="00554B06" w:rsidRDefault="00554B06" w:rsidP="00554B06">
            <w:pPr>
              <w:rPr>
                <w:rFonts w:ascii="Arial" w:hAnsi="Arial" w:cs="Arial"/>
                <w:b/>
                <w:bCs/>
                <w:sz w:val="18"/>
              </w:rPr>
            </w:pPr>
            <w:r w:rsidRPr="00554B06">
              <w:rPr>
                <w:rFonts w:ascii="Arial" w:hAnsi="Arial" w:cs="Arial"/>
                <w:b/>
                <w:bCs/>
                <w:sz w:val="18"/>
              </w:rPr>
              <w:t>Objective 4</w:t>
            </w:r>
          </w:p>
        </w:tc>
        <w:tc>
          <w:tcPr>
            <w:tcW w:w="8256" w:type="dxa"/>
          </w:tcPr>
          <w:p w14:paraId="701CD680" w14:textId="77777777" w:rsidR="00554B06" w:rsidRPr="00554B06" w:rsidRDefault="00554B06" w:rsidP="00554B06">
            <w:pPr>
              <w:rPr>
                <w:rFonts w:ascii="Arial" w:hAnsi="Arial" w:cs="Arial"/>
                <w:b/>
                <w:bCs/>
                <w:sz w:val="18"/>
                <w:lang w:bidi="ta-IN"/>
              </w:rPr>
            </w:pPr>
            <w:r w:rsidRPr="00554B06">
              <w:rPr>
                <w:rFonts w:ascii="Arial" w:hAnsi="Arial" w:cs="Arial"/>
                <w:b/>
                <w:bCs/>
                <w:sz w:val="18"/>
                <w:lang w:bidi="ta-IN"/>
              </w:rPr>
              <w:t>Improve the provision and achievement for identified groups of pupils to close any gaps between them and their peers: Disadvantaged, EAL, SEN and any other group identified as with a protected characteristic.</w:t>
            </w:r>
          </w:p>
        </w:tc>
      </w:tr>
    </w:tbl>
    <w:p w14:paraId="0D09C5A6" w14:textId="6809CAF7" w:rsidR="00F96017" w:rsidRPr="00F47872" w:rsidRDefault="00F96017" w:rsidP="00F96017">
      <w:pPr>
        <w:pStyle w:val="Default"/>
        <w:rPr>
          <w:rFonts w:ascii="Arial" w:hAnsi="Arial" w:cs="Arial"/>
          <w:color w:val="auto"/>
          <w:sz w:val="21"/>
          <w:szCs w:val="21"/>
        </w:rPr>
      </w:pPr>
    </w:p>
    <w:p w14:paraId="2C3D77F7" w14:textId="434018F2" w:rsidR="00DB0120" w:rsidRPr="00F47872" w:rsidRDefault="00DB0120" w:rsidP="00F96017">
      <w:pPr>
        <w:rPr>
          <w:rFonts w:ascii="Arial" w:hAnsi="Arial" w:cs="Arial"/>
          <w:sz w:val="21"/>
          <w:szCs w:val="21"/>
        </w:rPr>
      </w:pPr>
    </w:p>
    <w:sectPr w:rsidR="00DB0120" w:rsidRPr="00F47872" w:rsidSect="007A54B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0EA"/>
    <w:multiLevelType w:val="hybridMultilevel"/>
    <w:tmpl w:val="1EBE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412BC"/>
    <w:multiLevelType w:val="hybridMultilevel"/>
    <w:tmpl w:val="F142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3864"/>
    <w:multiLevelType w:val="hybridMultilevel"/>
    <w:tmpl w:val="1D4EB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11DCA"/>
    <w:multiLevelType w:val="hybridMultilevel"/>
    <w:tmpl w:val="EA0C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90DF4"/>
    <w:multiLevelType w:val="hybridMultilevel"/>
    <w:tmpl w:val="0688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E5F15"/>
    <w:multiLevelType w:val="multilevel"/>
    <w:tmpl w:val="F9A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258FA"/>
    <w:multiLevelType w:val="hybridMultilevel"/>
    <w:tmpl w:val="8914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72554"/>
    <w:multiLevelType w:val="multilevel"/>
    <w:tmpl w:val="7534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83B9A"/>
    <w:multiLevelType w:val="hybridMultilevel"/>
    <w:tmpl w:val="7CF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70E41"/>
    <w:multiLevelType w:val="hybridMultilevel"/>
    <w:tmpl w:val="0880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958E7"/>
    <w:multiLevelType w:val="hybridMultilevel"/>
    <w:tmpl w:val="AA44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E7CB9"/>
    <w:multiLevelType w:val="hybridMultilevel"/>
    <w:tmpl w:val="E25A2F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72B77"/>
    <w:multiLevelType w:val="hybridMultilevel"/>
    <w:tmpl w:val="4CA6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859E6"/>
    <w:multiLevelType w:val="multilevel"/>
    <w:tmpl w:val="497C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248A2"/>
    <w:multiLevelType w:val="hybridMultilevel"/>
    <w:tmpl w:val="C6DA4D5C"/>
    <w:lvl w:ilvl="0" w:tplc="51245B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14710"/>
    <w:multiLevelType w:val="multilevel"/>
    <w:tmpl w:val="E3C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06D24"/>
    <w:multiLevelType w:val="hybridMultilevel"/>
    <w:tmpl w:val="BB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F5F14"/>
    <w:multiLevelType w:val="hybridMultilevel"/>
    <w:tmpl w:val="205CC7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A0BAE"/>
    <w:multiLevelType w:val="hybridMultilevel"/>
    <w:tmpl w:val="A404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96465"/>
    <w:multiLevelType w:val="hybridMultilevel"/>
    <w:tmpl w:val="6AE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80E4B"/>
    <w:multiLevelType w:val="hybridMultilevel"/>
    <w:tmpl w:val="5C5A60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F2E3A"/>
    <w:multiLevelType w:val="hybridMultilevel"/>
    <w:tmpl w:val="3D5A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12A63"/>
    <w:multiLevelType w:val="hybridMultilevel"/>
    <w:tmpl w:val="DFC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A65D4"/>
    <w:multiLevelType w:val="hybridMultilevel"/>
    <w:tmpl w:val="AE14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D1D9D"/>
    <w:multiLevelType w:val="multilevel"/>
    <w:tmpl w:val="8DE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E1019"/>
    <w:multiLevelType w:val="hybridMultilevel"/>
    <w:tmpl w:val="A94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D5444"/>
    <w:multiLevelType w:val="multilevel"/>
    <w:tmpl w:val="F78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727700"/>
    <w:multiLevelType w:val="multilevel"/>
    <w:tmpl w:val="3FF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D70E1"/>
    <w:multiLevelType w:val="hybridMultilevel"/>
    <w:tmpl w:val="5634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32C7A"/>
    <w:multiLevelType w:val="multilevel"/>
    <w:tmpl w:val="E1CC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50508"/>
    <w:multiLevelType w:val="hybridMultilevel"/>
    <w:tmpl w:val="717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152AB"/>
    <w:multiLevelType w:val="hybridMultilevel"/>
    <w:tmpl w:val="231E9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1967E9"/>
    <w:multiLevelType w:val="hybridMultilevel"/>
    <w:tmpl w:val="62B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177E4"/>
    <w:multiLevelType w:val="multilevel"/>
    <w:tmpl w:val="4F24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024C6"/>
    <w:multiLevelType w:val="multilevel"/>
    <w:tmpl w:val="F13A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46C23"/>
    <w:multiLevelType w:val="hybridMultilevel"/>
    <w:tmpl w:val="AD96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86D44"/>
    <w:multiLevelType w:val="hybridMultilevel"/>
    <w:tmpl w:val="370C3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353E27"/>
    <w:multiLevelType w:val="hybridMultilevel"/>
    <w:tmpl w:val="259C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4629C"/>
    <w:multiLevelType w:val="hybridMultilevel"/>
    <w:tmpl w:val="6E76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5"/>
  </w:num>
  <w:num w:numId="4">
    <w:abstractNumId w:val="3"/>
  </w:num>
  <w:num w:numId="5">
    <w:abstractNumId w:val="14"/>
  </w:num>
  <w:num w:numId="6">
    <w:abstractNumId w:val="11"/>
  </w:num>
  <w:num w:numId="7">
    <w:abstractNumId w:val="20"/>
  </w:num>
  <w:num w:numId="8">
    <w:abstractNumId w:val="17"/>
  </w:num>
  <w:num w:numId="9">
    <w:abstractNumId w:val="36"/>
  </w:num>
  <w:num w:numId="10">
    <w:abstractNumId w:val="31"/>
  </w:num>
  <w:num w:numId="11">
    <w:abstractNumId w:val="2"/>
  </w:num>
  <w:num w:numId="12">
    <w:abstractNumId w:val="12"/>
  </w:num>
  <w:num w:numId="13">
    <w:abstractNumId w:val="32"/>
  </w:num>
  <w:num w:numId="14">
    <w:abstractNumId w:val="30"/>
  </w:num>
  <w:num w:numId="15">
    <w:abstractNumId w:val="28"/>
  </w:num>
  <w:num w:numId="16">
    <w:abstractNumId w:val="25"/>
  </w:num>
  <w:num w:numId="17">
    <w:abstractNumId w:val="1"/>
  </w:num>
  <w:num w:numId="18">
    <w:abstractNumId w:val="38"/>
  </w:num>
  <w:num w:numId="19">
    <w:abstractNumId w:val="8"/>
  </w:num>
  <w:num w:numId="20">
    <w:abstractNumId w:val="19"/>
  </w:num>
  <w:num w:numId="21">
    <w:abstractNumId w:val="9"/>
  </w:num>
  <w:num w:numId="22">
    <w:abstractNumId w:val="18"/>
  </w:num>
  <w:num w:numId="23">
    <w:abstractNumId w:val="16"/>
  </w:num>
  <w:num w:numId="24">
    <w:abstractNumId w:val="37"/>
  </w:num>
  <w:num w:numId="25">
    <w:abstractNumId w:val="6"/>
  </w:num>
  <w:num w:numId="26">
    <w:abstractNumId w:val="4"/>
  </w:num>
  <w:num w:numId="27">
    <w:abstractNumId w:val="0"/>
  </w:num>
  <w:num w:numId="28">
    <w:abstractNumId w:val="22"/>
  </w:num>
  <w:num w:numId="29">
    <w:abstractNumId w:val="34"/>
  </w:num>
  <w:num w:numId="30">
    <w:abstractNumId w:val="15"/>
  </w:num>
  <w:num w:numId="31">
    <w:abstractNumId w:val="29"/>
  </w:num>
  <w:num w:numId="32">
    <w:abstractNumId w:val="27"/>
  </w:num>
  <w:num w:numId="33">
    <w:abstractNumId w:val="24"/>
  </w:num>
  <w:num w:numId="34">
    <w:abstractNumId w:val="33"/>
  </w:num>
  <w:num w:numId="35">
    <w:abstractNumId w:val="5"/>
  </w:num>
  <w:num w:numId="36">
    <w:abstractNumId w:val="7"/>
  </w:num>
  <w:num w:numId="37">
    <w:abstractNumId w:val="21"/>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0D"/>
    <w:rsid w:val="00024E85"/>
    <w:rsid w:val="00025025"/>
    <w:rsid w:val="000C1A31"/>
    <w:rsid w:val="002075B3"/>
    <w:rsid w:val="00272B00"/>
    <w:rsid w:val="00277C12"/>
    <w:rsid w:val="002917FD"/>
    <w:rsid w:val="0029485B"/>
    <w:rsid w:val="003A4343"/>
    <w:rsid w:val="003B24B2"/>
    <w:rsid w:val="00426725"/>
    <w:rsid w:val="00486042"/>
    <w:rsid w:val="00491282"/>
    <w:rsid w:val="00493A92"/>
    <w:rsid w:val="004E2EA2"/>
    <w:rsid w:val="004E459A"/>
    <w:rsid w:val="00530232"/>
    <w:rsid w:val="00542EE8"/>
    <w:rsid w:val="00554B06"/>
    <w:rsid w:val="0057211F"/>
    <w:rsid w:val="00580F0E"/>
    <w:rsid w:val="005A3B76"/>
    <w:rsid w:val="005F14EC"/>
    <w:rsid w:val="006007F3"/>
    <w:rsid w:val="00673738"/>
    <w:rsid w:val="006F6F7E"/>
    <w:rsid w:val="0074282A"/>
    <w:rsid w:val="007A54B4"/>
    <w:rsid w:val="008861D9"/>
    <w:rsid w:val="00897235"/>
    <w:rsid w:val="008A2180"/>
    <w:rsid w:val="009B568B"/>
    <w:rsid w:val="009B61A6"/>
    <w:rsid w:val="009D3FBA"/>
    <w:rsid w:val="009D6C4F"/>
    <w:rsid w:val="00A0706A"/>
    <w:rsid w:val="00A34E0D"/>
    <w:rsid w:val="00A43DD9"/>
    <w:rsid w:val="00B16BE3"/>
    <w:rsid w:val="00B44C8D"/>
    <w:rsid w:val="00B92EFF"/>
    <w:rsid w:val="00BA5B1F"/>
    <w:rsid w:val="00BE4EFB"/>
    <w:rsid w:val="00CA5375"/>
    <w:rsid w:val="00D06CA2"/>
    <w:rsid w:val="00D34E86"/>
    <w:rsid w:val="00D64231"/>
    <w:rsid w:val="00D73FD7"/>
    <w:rsid w:val="00DA0A18"/>
    <w:rsid w:val="00DB0120"/>
    <w:rsid w:val="00E32245"/>
    <w:rsid w:val="00E354CB"/>
    <w:rsid w:val="00E35FC7"/>
    <w:rsid w:val="00E4776E"/>
    <w:rsid w:val="00EF73D0"/>
    <w:rsid w:val="00F04C78"/>
    <w:rsid w:val="00F238E0"/>
    <w:rsid w:val="00F47872"/>
    <w:rsid w:val="00F82FAB"/>
    <w:rsid w:val="00F96017"/>
    <w:rsid w:val="00FB0618"/>
    <w:rsid w:val="00FC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6E4"/>
  <w15:docId w15:val="{812B2572-1213-49FB-A000-E13E5C1F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E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37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37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32"/>
    <w:rPr>
      <w:rFonts w:ascii="Tahoma" w:hAnsi="Tahoma" w:cs="Tahoma"/>
      <w:sz w:val="16"/>
      <w:szCs w:val="16"/>
    </w:rPr>
  </w:style>
  <w:style w:type="table" w:styleId="TableGrid">
    <w:name w:val="Table Grid"/>
    <w:basedOn w:val="TableNormal"/>
    <w:uiPriority w:val="59"/>
    <w:rsid w:val="004E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EFF"/>
    <w:pPr>
      <w:ind w:left="720"/>
      <w:contextualSpacing/>
    </w:pPr>
  </w:style>
  <w:style w:type="paragraph" w:styleId="NoSpacing">
    <w:name w:val="No Spacing"/>
    <w:uiPriority w:val="1"/>
    <w:qFormat/>
    <w:rsid w:val="00B92EFF"/>
    <w:pPr>
      <w:spacing w:after="0" w:line="240" w:lineRule="auto"/>
    </w:pPr>
  </w:style>
  <w:style w:type="character" w:customStyle="1" w:styleId="Heading1Char">
    <w:name w:val="Heading 1 Char"/>
    <w:basedOn w:val="DefaultParagraphFont"/>
    <w:link w:val="Heading1"/>
    <w:uiPriority w:val="9"/>
    <w:rsid w:val="00B92EF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92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E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37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7373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73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3738"/>
    <w:rPr>
      <w:b/>
      <w:bCs/>
    </w:rPr>
  </w:style>
  <w:style w:type="character" w:styleId="Hyperlink">
    <w:name w:val="Hyperlink"/>
    <w:basedOn w:val="DefaultParagraphFont"/>
    <w:uiPriority w:val="99"/>
    <w:unhideWhenUsed/>
    <w:rsid w:val="00673738"/>
    <w:rPr>
      <w:color w:val="0000FF"/>
      <w:u w:val="single"/>
    </w:rPr>
  </w:style>
  <w:style w:type="paragraph" w:customStyle="1" w:styleId="Default">
    <w:name w:val="Default"/>
    <w:rsid w:val="00B44C8D"/>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customStyle="1" w:styleId="UnresolvedMention">
    <w:name w:val="Unresolved Mention"/>
    <w:basedOn w:val="DefaultParagraphFont"/>
    <w:uiPriority w:val="99"/>
    <w:semiHidden/>
    <w:unhideWhenUsed/>
    <w:rsid w:val="00F4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94570">
      <w:bodyDiv w:val="1"/>
      <w:marLeft w:val="0"/>
      <w:marRight w:val="0"/>
      <w:marTop w:val="0"/>
      <w:marBottom w:val="0"/>
      <w:divBdr>
        <w:top w:val="none" w:sz="0" w:space="0" w:color="auto"/>
        <w:left w:val="none" w:sz="0" w:space="0" w:color="auto"/>
        <w:bottom w:val="none" w:sz="0" w:space="0" w:color="auto"/>
        <w:right w:val="none" w:sz="0" w:space="0" w:color="auto"/>
      </w:divBdr>
    </w:div>
    <w:div w:id="1140223177">
      <w:bodyDiv w:val="1"/>
      <w:marLeft w:val="0"/>
      <w:marRight w:val="0"/>
      <w:marTop w:val="0"/>
      <w:marBottom w:val="0"/>
      <w:divBdr>
        <w:top w:val="none" w:sz="0" w:space="0" w:color="auto"/>
        <w:left w:val="none" w:sz="0" w:space="0" w:color="auto"/>
        <w:bottom w:val="none" w:sz="0" w:space="0" w:color="auto"/>
        <w:right w:val="none" w:sz="0" w:space="0" w:color="auto"/>
      </w:divBdr>
      <w:divsChild>
        <w:div w:id="1364282228">
          <w:marLeft w:val="0"/>
          <w:marRight w:val="0"/>
          <w:marTop w:val="0"/>
          <w:marBottom w:val="300"/>
          <w:divBdr>
            <w:top w:val="none" w:sz="0" w:space="0" w:color="auto"/>
            <w:left w:val="none" w:sz="0" w:space="0" w:color="auto"/>
            <w:bottom w:val="none" w:sz="0" w:space="0" w:color="auto"/>
            <w:right w:val="none" w:sz="0" w:space="0" w:color="auto"/>
          </w:divBdr>
          <w:divsChild>
            <w:div w:id="17722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7881">
      <w:bodyDiv w:val="1"/>
      <w:marLeft w:val="0"/>
      <w:marRight w:val="0"/>
      <w:marTop w:val="0"/>
      <w:marBottom w:val="0"/>
      <w:divBdr>
        <w:top w:val="none" w:sz="0" w:space="0" w:color="auto"/>
        <w:left w:val="none" w:sz="0" w:space="0" w:color="auto"/>
        <w:bottom w:val="none" w:sz="0" w:space="0" w:color="auto"/>
        <w:right w:val="none" w:sz="0" w:space="0" w:color="auto"/>
      </w:divBdr>
      <w:divsChild>
        <w:div w:id="162747670">
          <w:marLeft w:val="0"/>
          <w:marRight w:val="0"/>
          <w:marTop w:val="0"/>
          <w:marBottom w:val="300"/>
          <w:divBdr>
            <w:top w:val="none" w:sz="0" w:space="0" w:color="auto"/>
            <w:left w:val="none" w:sz="0" w:space="0" w:color="auto"/>
            <w:bottom w:val="none" w:sz="0" w:space="0" w:color="auto"/>
            <w:right w:val="none" w:sz="0" w:space="0" w:color="auto"/>
          </w:divBdr>
          <w:divsChild>
            <w:div w:id="3014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829">
      <w:bodyDiv w:val="1"/>
      <w:marLeft w:val="0"/>
      <w:marRight w:val="0"/>
      <w:marTop w:val="0"/>
      <w:marBottom w:val="0"/>
      <w:divBdr>
        <w:top w:val="none" w:sz="0" w:space="0" w:color="auto"/>
        <w:left w:val="none" w:sz="0" w:space="0" w:color="auto"/>
        <w:bottom w:val="none" w:sz="0" w:space="0" w:color="auto"/>
        <w:right w:val="none" w:sz="0" w:space="0" w:color="auto"/>
      </w:divBdr>
      <w:divsChild>
        <w:div w:id="352076097">
          <w:marLeft w:val="0"/>
          <w:marRight w:val="0"/>
          <w:marTop w:val="0"/>
          <w:marBottom w:val="0"/>
          <w:divBdr>
            <w:top w:val="none" w:sz="0" w:space="0" w:color="auto"/>
            <w:left w:val="none" w:sz="0" w:space="0" w:color="auto"/>
            <w:bottom w:val="none" w:sz="0" w:space="0" w:color="auto"/>
            <w:right w:val="none" w:sz="0" w:space="0" w:color="auto"/>
          </w:divBdr>
          <w:divsChild>
            <w:div w:id="1359622048">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yperlink" Target="https://en.wikipedia.org/wiki/Anti-discrimination_law" TargetMode="External"/><Relationship Id="rId26" Type="http://schemas.openxmlformats.org/officeDocument/2006/relationships/hyperlink" Target="https://en.wikipedia.org/wiki/Employment_Equality_(Sexual_Orientation)_Regulations_2003" TargetMode="External"/><Relationship Id="rId3" Type="http://schemas.openxmlformats.org/officeDocument/2006/relationships/customXml" Target="../customXml/item3.xml"/><Relationship Id="rId21" Type="http://schemas.openxmlformats.org/officeDocument/2006/relationships/hyperlink" Target="https://en.wikipedia.org/wiki/Sex_Discrimination_Act_1975" TargetMode="External"/><Relationship Id="rId7" Type="http://schemas.openxmlformats.org/officeDocument/2006/relationships/settings" Target="settings.xml"/><Relationship Id="rId12" Type="http://schemas.openxmlformats.org/officeDocument/2006/relationships/hyperlink" Target="https://www.gov.uk/working-when-pregnant-your-rights" TargetMode="External"/><Relationship Id="rId17" Type="http://schemas.openxmlformats.org/officeDocument/2006/relationships/hyperlink" Target="https://en.wikipedia.org/wiki/Brown_ministry" TargetMode="External"/><Relationship Id="rId25" Type="http://schemas.openxmlformats.org/officeDocument/2006/relationships/hyperlink" Target="https://en.wikipedia.org/wiki/Employment_Equality_(Religion_or_Belief)_Regulations_2003" TargetMode="External"/><Relationship Id="rId2" Type="http://schemas.openxmlformats.org/officeDocument/2006/relationships/customXml" Target="../customXml/item2.xml"/><Relationship Id="rId16" Type="http://schemas.openxmlformats.org/officeDocument/2006/relationships/hyperlink" Target="https://en.wikipedia.org/wiki/Parliament_of_the_United_Kingdom" TargetMode="External"/><Relationship Id="rId20" Type="http://schemas.openxmlformats.org/officeDocument/2006/relationships/hyperlink" Target="https://en.wikipedia.org/wiki/Equal_Pay_Act_19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hyperlink" Target="https://en.wikipedia.org/wiki/Statutory_instruments" TargetMode="External"/><Relationship Id="rId5" Type="http://schemas.openxmlformats.org/officeDocument/2006/relationships/numbering" Target="numbering.xml"/><Relationship Id="rId15" Type="http://schemas.openxmlformats.org/officeDocument/2006/relationships/hyperlink" Target="https://en.wikipedia.org/wiki/Act_of_Parliament" TargetMode="External"/><Relationship Id="rId23" Type="http://schemas.openxmlformats.org/officeDocument/2006/relationships/hyperlink" Target="https://en.wikipedia.org/wiki/Disability_Discrimination_Act_1995" TargetMode="External"/><Relationship Id="rId28" Type="http://schemas.openxmlformats.org/officeDocument/2006/relationships/hyperlink" Target="https://en.wikipedia.org/wiki/Equality_Act_2010" TargetMode="External"/><Relationship Id="rId10" Type="http://schemas.openxmlformats.org/officeDocument/2006/relationships/image" Target="cid:image001.jpg@01D24A4D.8057F170" TargetMode="External"/><Relationship Id="rId19" Type="http://schemas.openxmlformats.org/officeDocument/2006/relationships/hyperlink" Target="https://en.wikipedia.org/wiki/Northern_Irelan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n.wikipedia.org/wiki/Equality_Act_2010" TargetMode="External"/><Relationship Id="rId22" Type="http://schemas.openxmlformats.org/officeDocument/2006/relationships/hyperlink" Target="https://en.wikipedia.org/wiki/Race_Relations_Act_1976" TargetMode="External"/><Relationship Id="rId27" Type="http://schemas.openxmlformats.org/officeDocument/2006/relationships/hyperlink" Target="https://en.wikipedia.org/wiki/Employment_Equality_(Age)_Regulations_200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815D74E210649BD3F0354DEFBEC35" ma:contentTypeVersion="10" ma:contentTypeDescription="Create a new document." ma:contentTypeScope="" ma:versionID="bc74c385a9c08d0cd46e5a257d147df9">
  <xsd:schema xmlns:xsd="http://www.w3.org/2001/XMLSchema" xmlns:xs="http://www.w3.org/2001/XMLSchema" xmlns:p="http://schemas.microsoft.com/office/2006/metadata/properties" xmlns:ns3="1d595d17-3b0b-4dfa-8050-9f936a52b750" targetNamespace="http://schemas.microsoft.com/office/2006/metadata/properties" ma:root="true" ma:fieldsID="887434c80beef0b830d001274655481b" ns3:_="">
    <xsd:import namespace="1d595d17-3b0b-4dfa-8050-9f936a52b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d17-3b0b-4dfa-8050-9f936a52b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1D99-7B13-40DE-B834-88B979B5A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d17-3b0b-4dfa-8050-9f936a52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2279-DD3B-4838-8ED8-54E78F451B28}">
  <ds:schemaRefs>
    <ds:schemaRef ds:uri="http://schemas.microsoft.com/sharepoint/v3/contenttype/forms"/>
  </ds:schemaRefs>
</ds:datastoreItem>
</file>

<file path=customXml/itemProps3.xml><?xml version="1.0" encoding="utf-8"?>
<ds:datastoreItem xmlns:ds="http://schemas.openxmlformats.org/officeDocument/2006/customXml" ds:itemID="{8542B42C-81BD-4E42-A302-14EDEBE99011}">
  <ds:schemaRefs>
    <ds:schemaRef ds:uri="http://www.w3.org/XML/1998/namespace"/>
    <ds:schemaRef ds:uri="1d595d17-3b0b-4dfa-8050-9f936a52b750"/>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DD27D93A-ECE7-4B13-B17D-2BD5A0EC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Haworth</dc:creator>
  <cp:lastModifiedBy>C Lawson</cp:lastModifiedBy>
  <cp:revision>2</cp:revision>
  <cp:lastPrinted>2017-10-02T14:37:00Z</cp:lastPrinted>
  <dcterms:created xsi:type="dcterms:W3CDTF">2022-09-08T10:22:00Z</dcterms:created>
  <dcterms:modified xsi:type="dcterms:W3CDTF">2022-09-08T10:22:00Z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0x0101000EC815D74E210649BD3F0354DEFBEC35</vt:lpwstr>
  </property>
</Properties>
</file>